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9D3D80C"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CD5A51" w:rsidRPr="00CD5A51">
        <w:rPr>
          <w:rFonts w:cs="Arial"/>
          <w:b/>
          <w:sz w:val="24"/>
          <w:szCs w:val="24"/>
        </w:rPr>
        <w:t xml:space="preserve"> R4-23111</w:t>
      </w:r>
      <w:r w:rsidR="00DE31BF">
        <w:rPr>
          <w:rFonts w:cs="Arial"/>
          <w:b/>
          <w:sz w:val="24"/>
          <w:szCs w:val="24"/>
        </w:rPr>
        <w:t>46</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51E89B0"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E31BF" w:rsidRPr="00DE31BF">
        <w:rPr>
          <w:rFonts w:ascii="Arial" w:hAnsi="Arial" w:cs="Arial"/>
          <w:bCs/>
          <w:color w:val="000000"/>
          <w:sz w:val="22"/>
        </w:rPr>
        <w:t xml:space="preserve">NR-U PC5 </w:t>
      </w:r>
      <w:r w:rsidR="00DE31BF">
        <w:rPr>
          <w:rFonts w:ascii="Arial" w:hAnsi="Arial" w:cs="Arial"/>
          <w:bCs/>
          <w:color w:val="000000"/>
          <w:sz w:val="22"/>
        </w:rPr>
        <w:t xml:space="preserve">NS_53 </w:t>
      </w:r>
      <w:r w:rsidR="00DE31BF" w:rsidRPr="00DE31BF">
        <w:rPr>
          <w:rFonts w:ascii="Arial" w:hAnsi="Arial" w:cs="Arial"/>
          <w:bCs/>
          <w:color w:val="000000"/>
          <w:sz w:val="22"/>
        </w:rPr>
        <w:t>NS_54 A-MPR measurements</w:t>
      </w:r>
    </w:p>
    <w:p w14:paraId="3FCCD43F" w14:textId="6819188A"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C1C50" w:rsidRPr="00CC1C50">
        <w:rPr>
          <w:rFonts w:ascii="Arial" w:hAnsi="Arial" w:cs="Arial"/>
          <w:bCs/>
          <w:color w:val="000000"/>
          <w:sz w:val="22"/>
          <w:lang w:val="pt-BR" w:eastAsia="ja-JP"/>
        </w:rPr>
        <w:t>6.6.2 UE RF requirements</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7D8C3596"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2231F4">
        <w:rPr>
          <w:rFonts w:eastAsia="SimSun"/>
          <w:lang w:eastAsia="zh-CN"/>
        </w:rPr>
        <w:t>contribution</w:t>
      </w:r>
      <w:r>
        <w:rPr>
          <w:rFonts w:eastAsia="SimSun"/>
          <w:lang w:eastAsia="zh-CN"/>
        </w:rPr>
        <w:t xml:space="preserve"> </w:t>
      </w:r>
      <w:r w:rsidR="00BF7A92">
        <w:rPr>
          <w:rFonts w:eastAsia="SimSun"/>
          <w:lang w:eastAsia="zh-CN"/>
        </w:rPr>
        <w:t>p</w:t>
      </w:r>
      <w:r w:rsidR="00DE31BF">
        <w:rPr>
          <w:rFonts w:eastAsia="SimSun"/>
          <w:lang w:eastAsia="zh-CN"/>
        </w:rPr>
        <w:t xml:space="preserve">resents </w:t>
      </w:r>
      <w:r w:rsidR="009E1817">
        <w:rPr>
          <w:rFonts w:eastAsia="SimSun"/>
          <w:lang w:eastAsia="zh-CN"/>
        </w:rPr>
        <w:t xml:space="preserve">power class 5 (PC5) measurement </w:t>
      </w:r>
      <w:r w:rsidR="00DE31BF">
        <w:rPr>
          <w:rFonts w:eastAsia="SimSun"/>
          <w:lang w:eastAsia="zh-CN"/>
        </w:rPr>
        <w:t>results for NS_53 and NS_54 A-MPR</w:t>
      </w:r>
      <w:r w:rsidR="00B3483A">
        <w:rPr>
          <w:rFonts w:eastAsia="SimSun"/>
          <w:lang w:eastAsia="zh-CN"/>
        </w:rPr>
        <w:t xml:space="preserve"> following initial studies [1].</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2B088AE7" w14:textId="3EE9FC47" w:rsidR="009E1817" w:rsidRDefault="009E1817" w:rsidP="009E1817">
      <w:pPr>
        <w:rPr>
          <w:lang w:eastAsia="ja-JP"/>
        </w:rPr>
      </w:pPr>
      <w:r>
        <w:rPr>
          <w:lang w:eastAsia="ja-JP"/>
        </w:rPr>
        <w:fldChar w:fldCharType="begin"/>
      </w:r>
      <w:r>
        <w:rPr>
          <w:lang w:eastAsia="ja-JP"/>
        </w:rPr>
        <w:instrText xml:space="preserve"> REF _Ref142673000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summarizes the power spectral density (PSD) requirements for NS_53 and NS_54.</w:t>
      </w:r>
    </w:p>
    <w:p w14:paraId="6AE3DD71" w14:textId="4767ECE4" w:rsidR="009E1817" w:rsidRDefault="009E1817" w:rsidP="009E1817">
      <w:pPr>
        <w:pStyle w:val="Caption"/>
        <w:keepNext/>
        <w:jc w:val="center"/>
      </w:pPr>
      <w:bookmarkStart w:id="11" w:name="_Ref142673000"/>
      <w:r>
        <w:t xml:space="preserve">Table </w:t>
      </w:r>
      <w:r>
        <w:fldChar w:fldCharType="begin"/>
      </w:r>
      <w:r>
        <w:instrText xml:space="preserve"> SEQ Table \* ARABIC </w:instrText>
      </w:r>
      <w:r>
        <w:fldChar w:fldCharType="separate"/>
      </w:r>
      <w:r>
        <w:rPr>
          <w:noProof/>
        </w:rPr>
        <w:t>1</w:t>
      </w:r>
      <w:r>
        <w:fldChar w:fldCharType="end"/>
      </w:r>
      <w:bookmarkEnd w:id="11"/>
      <w:r>
        <w:t xml:space="preserve"> </w:t>
      </w:r>
      <w:r w:rsidRPr="009E1817">
        <w:rPr>
          <w:b w:val="0"/>
          <w:bCs/>
        </w:rPr>
        <w:t>NS_53, NS_54 Additional requirements for transmit power density</w:t>
      </w:r>
    </w:p>
    <w:tbl>
      <w:tblPr>
        <w:tblW w:w="8010"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071"/>
        <w:gridCol w:w="1621"/>
        <w:gridCol w:w="2522"/>
        <w:gridCol w:w="2071"/>
      </w:tblGrid>
      <w:tr w:rsidR="009E1817" w:rsidRPr="009E1817" w14:paraId="55ECB342" w14:textId="77777777" w:rsidTr="007E50AE">
        <w:trPr>
          <w:trHeight w:val="656"/>
        </w:trPr>
        <w:tc>
          <w:tcPr>
            <w:tcW w:w="725" w:type="dxa"/>
            <w:tcBorders>
              <w:top w:val="single" w:sz="4" w:space="0" w:color="auto"/>
              <w:left w:val="single" w:sz="4" w:space="0" w:color="auto"/>
              <w:bottom w:val="single" w:sz="4" w:space="0" w:color="auto"/>
              <w:right w:val="single" w:sz="4" w:space="0" w:color="auto"/>
            </w:tcBorders>
            <w:hideMark/>
          </w:tcPr>
          <w:p w14:paraId="520240F7" w14:textId="77777777" w:rsidR="009E1817" w:rsidRPr="009E1817" w:rsidRDefault="009E1817" w:rsidP="009E1817">
            <w:pPr>
              <w:keepNext/>
              <w:keepLines/>
              <w:spacing w:after="0"/>
              <w:jc w:val="center"/>
              <w:rPr>
                <w:rFonts w:ascii="Arial" w:eastAsia="Times New Roman" w:hAnsi="Arial"/>
                <w:b/>
                <w:sz w:val="18"/>
              </w:rPr>
            </w:pPr>
            <w:r w:rsidRPr="009E1817">
              <w:rPr>
                <w:rFonts w:ascii="Arial" w:eastAsia="Times New Roman" w:hAnsi="Arial"/>
                <w:b/>
                <w:sz w:val="18"/>
              </w:rPr>
              <w:t>NR Band</w:t>
            </w:r>
          </w:p>
        </w:tc>
        <w:tc>
          <w:tcPr>
            <w:tcW w:w="1071" w:type="dxa"/>
            <w:tcBorders>
              <w:top w:val="single" w:sz="4" w:space="0" w:color="auto"/>
              <w:left w:val="single" w:sz="4" w:space="0" w:color="auto"/>
              <w:bottom w:val="single" w:sz="4" w:space="0" w:color="auto"/>
              <w:right w:val="single" w:sz="4" w:space="0" w:color="auto"/>
            </w:tcBorders>
            <w:hideMark/>
          </w:tcPr>
          <w:p w14:paraId="3B8323F0" w14:textId="77777777" w:rsidR="009E1817" w:rsidRPr="009E1817" w:rsidRDefault="009E1817" w:rsidP="009E1817">
            <w:pPr>
              <w:keepNext/>
              <w:keepLines/>
              <w:spacing w:after="0"/>
              <w:jc w:val="center"/>
              <w:rPr>
                <w:rFonts w:ascii="Arial" w:eastAsia="Times New Roman" w:hAnsi="Arial"/>
                <w:b/>
                <w:sz w:val="18"/>
              </w:rPr>
            </w:pPr>
            <w:r w:rsidRPr="009E1817">
              <w:rPr>
                <w:rFonts w:ascii="Arial" w:eastAsia="Times New Roman" w:hAnsi="Arial"/>
                <w:b/>
                <w:sz w:val="18"/>
              </w:rPr>
              <w:t>NS value</w:t>
            </w:r>
          </w:p>
        </w:tc>
        <w:tc>
          <w:tcPr>
            <w:tcW w:w="1621" w:type="dxa"/>
            <w:tcBorders>
              <w:top w:val="single" w:sz="4" w:space="0" w:color="auto"/>
              <w:left w:val="single" w:sz="4" w:space="0" w:color="auto"/>
              <w:bottom w:val="single" w:sz="4" w:space="0" w:color="auto"/>
              <w:right w:val="single" w:sz="4" w:space="0" w:color="auto"/>
            </w:tcBorders>
            <w:hideMark/>
          </w:tcPr>
          <w:p w14:paraId="310690B8" w14:textId="77777777" w:rsidR="009E1817" w:rsidRPr="009E1817" w:rsidRDefault="009E1817" w:rsidP="009E1817">
            <w:pPr>
              <w:keepNext/>
              <w:keepLines/>
              <w:spacing w:after="0"/>
              <w:jc w:val="center"/>
              <w:rPr>
                <w:rFonts w:ascii="Arial" w:eastAsia="Times New Roman" w:hAnsi="Arial"/>
                <w:b/>
                <w:sz w:val="18"/>
              </w:rPr>
            </w:pPr>
            <w:r w:rsidRPr="009E1817">
              <w:rPr>
                <w:rFonts w:ascii="Arial" w:eastAsia="Times New Roman" w:hAnsi="Arial"/>
                <w:b/>
                <w:sz w:val="18"/>
              </w:rPr>
              <w:t>Channel bandwidth (MHz)</w:t>
            </w:r>
          </w:p>
        </w:tc>
        <w:tc>
          <w:tcPr>
            <w:tcW w:w="2522" w:type="dxa"/>
            <w:tcBorders>
              <w:top w:val="single" w:sz="4" w:space="0" w:color="auto"/>
              <w:left w:val="single" w:sz="4" w:space="0" w:color="auto"/>
              <w:bottom w:val="single" w:sz="4" w:space="0" w:color="auto"/>
              <w:right w:val="single" w:sz="4" w:space="0" w:color="auto"/>
            </w:tcBorders>
            <w:hideMark/>
          </w:tcPr>
          <w:p w14:paraId="63EAB736" w14:textId="77777777" w:rsidR="009E1817" w:rsidRPr="009E1817" w:rsidRDefault="009E1817" w:rsidP="009E1817">
            <w:pPr>
              <w:keepNext/>
              <w:keepLines/>
              <w:spacing w:after="0"/>
              <w:jc w:val="center"/>
              <w:rPr>
                <w:rFonts w:ascii="Arial" w:eastAsia="Times New Roman" w:hAnsi="Arial"/>
                <w:b/>
                <w:sz w:val="18"/>
              </w:rPr>
            </w:pPr>
            <w:r w:rsidRPr="009E1817">
              <w:rPr>
                <w:rFonts w:ascii="Arial" w:eastAsia="Times New Roman" w:hAnsi="Arial"/>
                <w:b/>
                <w:sz w:val="18"/>
              </w:rPr>
              <w:t>Frequency range (MHz)</w:t>
            </w:r>
          </w:p>
        </w:tc>
        <w:tc>
          <w:tcPr>
            <w:tcW w:w="2071" w:type="dxa"/>
            <w:tcBorders>
              <w:top w:val="single" w:sz="4" w:space="0" w:color="auto"/>
              <w:left w:val="single" w:sz="4" w:space="0" w:color="auto"/>
              <w:bottom w:val="single" w:sz="4" w:space="0" w:color="auto"/>
              <w:right w:val="single" w:sz="4" w:space="0" w:color="auto"/>
            </w:tcBorders>
            <w:hideMark/>
          </w:tcPr>
          <w:p w14:paraId="3E8380B0" w14:textId="77777777" w:rsidR="009E1817" w:rsidRPr="009E1817" w:rsidRDefault="009E1817" w:rsidP="009E1817">
            <w:pPr>
              <w:keepNext/>
              <w:keepLines/>
              <w:spacing w:after="0"/>
              <w:jc w:val="center"/>
              <w:rPr>
                <w:rFonts w:ascii="Arial" w:eastAsia="Times New Roman" w:hAnsi="Arial"/>
                <w:b/>
                <w:sz w:val="18"/>
              </w:rPr>
            </w:pPr>
            <w:r w:rsidRPr="009E1817">
              <w:rPr>
                <w:rFonts w:ascii="Arial" w:eastAsia="Times New Roman" w:hAnsi="Arial"/>
                <w:b/>
                <w:sz w:val="18"/>
              </w:rPr>
              <w:t>Maximum mean power density (dBm/MHz)</w:t>
            </w:r>
          </w:p>
        </w:tc>
      </w:tr>
      <w:tr w:rsidR="009E1817" w:rsidRPr="009E1817" w14:paraId="31D12FA6" w14:textId="77777777" w:rsidTr="007E50AE">
        <w:trPr>
          <w:trHeight w:val="187"/>
        </w:trPr>
        <w:tc>
          <w:tcPr>
            <w:tcW w:w="725" w:type="dxa"/>
            <w:tcBorders>
              <w:top w:val="single" w:sz="4" w:space="0" w:color="auto"/>
              <w:left w:val="single" w:sz="4" w:space="0" w:color="auto"/>
              <w:bottom w:val="nil"/>
              <w:right w:val="single" w:sz="4" w:space="0" w:color="auto"/>
            </w:tcBorders>
            <w:hideMark/>
          </w:tcPr>
          <w:p w14:paraId="74A5C437"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sz w:val="18"/>
              </w:rPr>
              <w:t>n96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6558A3"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NS_53</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0612FF"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20, 40, 60, 80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1399CE"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5925 – 7125</w:t>
            </w:r>
          </w:p>
        </w:tc>
        <w:tc>
          <w:tcPr>
            <w:tcW w:w="2071" w:type="dxa"/>
            <w:tcBorders>
              <w:top w:val="single" w:sz="4" w:space="0" w:color="auto"/>
              <w:left w:val="single" w:sz="4" w:space="0" w:color="auto"/>
              <w:bottom w:val="single" w:sz="4" w:space="0" w:color="auto"/>
              <w:right w:val="single" w:sz="4" w:space="0" w:color="auto"/>
            </w:tcBorders>
            <w:vAlign w:val="center"/>
            <w:hideMark/>
          </w:tcPr>
          <w:p w14:paraId="50002D28"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lang w:eastAsia="zh-CN"/>
              </w:rPr>
              <w:t>-1</w:t>
            </w:r>
          </w:p>
        </w:tc>
      </w:tr>
      <w:tr w:rsidR="009E1817" w:rsidRPr="009E1817" w14:paraId="4CDBC6F8" w14:textId="77777777" w:rsidTr="007E50AE">
        <w:trPr>
          <w:trHeight w:val="187"/>
        </w:trPr>
        <w:tc>
          <w:tcPr>
            <w:tcW w:w="725" w:type="dxa"/>
            <w:tcBorders>
              <w:top w:val="nil"/>
              <w:left w:val="single" w:sz="4" w:space="0" w:color="auto"/>
              <w:bottom w:val="nil"/>
              <w:right w:val="single" w:sz="4" w:space="0" w:color="auto"/>
            </w:tcBorders>
          </w:tcPr>
          <w:p w14:paraId="411DBE29" w14:textId="77777777" w:rsidR="009E1817" w:rsidRPr="009E1817" w:rsidRDefault="009E1817" w:rsidP="009E1817">
            <w:pPr>
              <w:keepNext/>
              <w:keepLines/>
              <w:spacing w:after="0"/>
              <w:jc w:val="center"/>
              <w:rPr>
                <w:rFonts w:ascii="Arial" w:eastAsia="Times New Roman" w:hAnsi="Arial"/>
                <w:sz w:val="18"/>
              </w:rPr>
            </w:pP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14:paraId="2D14EFFB"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NS_54</w:t>
            </w:r>
          </w:p>
        </w:tc>
        <w:tc>
          <w:tcPr>
            <w:tcW w:w="1621" w:type="dxa"/>
            <w:vMerge w:val="restart"/>
            <w:tcBorders>
              <w:top w:val="single" w:sz="4" w:space="0" w:color="auto"/>
              <w:left w:val="single" w:sz="4" w:space="0" w:color="auto"/>
              <w:bottom w:val="single" w:sz="4" w:space="0" w:color="auto"/>
              <w:right w:val="single" w:sz="4" w:space="0" w:color="auto"/>
            </w:tcBorders>
            <w:vAlign w:val="center"/>
            <w:hideMark/>
          </w:tcPr>
          <w:p w14:paraId="174735CB"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20, 40, 60, 80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E77CC6"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5925 – 6425</w:t>
            </w:r>
          </w:p>
        </w:tc>
        <w:tc>
          <w:tcPr>
            <w:tcW w:w="2071" w:type="dxa"/>
            <w:tcBorders>
              <w:top w:val="single" w:sz="4" w:space="0" w:color="auto"/>
              <w:left w:val="single" w:sz="4" w:space="0" w:color="auto"/>
              <w:bottom w:val="nil"/>
              <w:right w:val="single" w:sz="4" w:space="0" w:color="auto"/>
            </w:tcBorders>
            <w:vAlign w:val="center"/>
            <w:hideMark/>
          </w:tcPr>
          <w:p w14:paraId="48AA6B1B"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sz w:val="18"/>
              </w:rPr>
              <w:t>17</w:t>
            </w:r>
          </w:p>
        </w:tc>
      </w:tr>
      <w:tr w:rsidR="009E1817" w:rsidRPr="009E1817" w14:paraId="16D1613F" w14:textId="77777777" w:rsidTr="007E50AE">
        <w:trPr>
          <w:trHeight w:val="70"/>
        </w:trPr>
        <w:tc>
          <w:tcPr>
            <w:tcW w:w="725" w:type="dxa"/>
            <w:tcBorders>
              <w:top w:val="nil"/>
              <w:left w:val="single" w:sz="4" w:space="0" w:color="auto"/>
              <w:bottom w:val="single" w:sz="4" w:space="0" w:color="auto"/>
              <w:right w:val="single" w:sz="4" w:space="0" w:color="auto"/>
            </w:tcBorders>
          </w:tcPr>
          <w:p w14:paraId="266D01F8" w14:textId="77777777" w:rsidR="009E1817" w:rsidRPr="009E1817" w:rsidRDefault="009E1817" w:rsidP="009E1817">
            <w:pPr>
              <w:keepNext/>
              <w:keepLines/>
              <w:spacing w:after="0"/>
              <w:jc w:val="center"/>
              <w:rPr>
                <w:rFonts w:ascii="Arial" w:eastAsia="Times New Roman" w:hAnsi="Arial"/>
                <w:sz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EF153D2" w14:textId="77777777" w:rsidR="009E1817" w:rsidRPr="009E1817" w:rsidRDefault="009E1817" w:rsidP="009E1817">
            <w:pPr>
              <w:spacing w:after="0"/>
              <w:rPr>
                <w:rFonts w:ascii="Arial" w:eastAsia="Times New Roman"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4B297921" w14:textId="77777777" w:rsidR="009E1817" w:rsidRPr="009E1817" w:rsidRDefault="009E1817" w:rsidP="009E1817">
            <w:pPr>
              <w:spacing w:after="0"/>
              <w:rPr>
                <w:rFonts w:ascii="Arial" w:eastAsia="Times New Roman" w:hAnsi="Arial"/>
                <w:sz w:val="18"/>
              </w:rPr>
            </w:pPr>
          </w:p>
        </w:tc>
        <w:tc>
          <w:tcPr>
            <w:tcW w:w="2522" w:type="dxa"/>
            <w:tcBorders>
              <w:top w:val="single" w:sz="4" w:space="0" w:color="auto"/>
              <w:left w:val="single" w:sz="4" w:space="0" w:color="auto"/>
              <w:bottom w:val="single" w:sz="4" w:space="0" w:color="auto"/>
              <w:right w:val="single" w:sz="4" w:space="0" w:color="auto"/>
            </w:tcBorders>
            <w:vAlign w:val="center"/>
            <w:hideMark/>
          </w:tcPr>
          <w:p w14:paraId="1118B8AA" w14:textId="77777777" w:rsidR="009E1817" w:rsidRPr="009E1817" w:rsidRDefault="009E1817" w:rsidP="009E1817">
            <w:pPr>
              <w:keepNext/>
              <w:keepLines/>
              <w:spacing w:after="0"/>
              <w:jc w:val="center"/>
              <w:rPr>
                <w:rFonts w:ascii="Arial" w:eastAsia="Times New Roman" w:hAnsi="Arial"/>
                <w:sz w:val="18"/>
              </w:rPr>
            </w:pPr>
            <w:r w:rsidRPr="009E1817">
              <w:rPr>
                <w:rFonts w:ascii="Arial" w:eastAsia="Times New Roman" w:hAnsi="Arial" w:cs="Arial"/>
                <w:sz w:val="18"/>
              </w:rPr>
              <w:t>6525 – 6875</w:t>
            </w:r>
          </w:p>
        </w:tc>
        <w:tc>
          <w:tcPr>
            <w:tcW w:w="2071" w:type="dxa"/>
            <w:tcBorders>
              <w:top w:val="nil"/>
              <w:left w:val="single" w:sz="4" w:space="0" w:color="auto"/>
              <w:bottom w:val="single" w:sz="4" w:space="0" w:color="auto"/>
              <w:right w:val="single" w:sz="4" w:space="0" w:color="auto"/>
            </w:tcBorders>
            <w:vAlign w:val="center"/>
          </w:tcPr>
          <w:p w14:paraId="7C7104C8" w14:textId="77777777" w:rsidR="009E1817" w:rsidRPr="009E1817" w:rsidRDefault="009E1817" w:rsidP="009E1817">
            <w:pPr>
              <w:keepNext/>
              <w:keepLines/>
              <w:spacing w:after="0"/>
              <w:jc w:val="center"/>
              <w:rPr>
                <w:rFonts w:ascii="Arial" w:eastAsia="Times New Roman" w:hAnsi="Arial"/>
                <w:sz w:val="18"/>
              </w:rPr>
            </w:pPr>
          </w:p>
        </w:tc>
      </w:tr>
    </w:tbl>
    <w:p w14:paraId="0C774BB2" w14:textId="77777777" w:rsidR="009E1817" w:rsidRDefault="009E1817" w:rsidP="009E1817">
      <w:pPr>
        <w:rPr>
          <w:lang w:eastAsia="ja-JP"/>
        </w:rPr>
      </w:pPr>
    </w:p>
    <w:p w14:paraId="11BA51E9" w14:textId="22E9E2D2" w:rsidR="009E1817" w:rsidRDefault="009E1817" w:rsidP="009E1817">
      <w:pPr>
        <w:rPr>
          <w:lang w:eastAsia="ja-JP"/>
        </w:rPr>
      </w:pPr>
      <w:r>
        <w:rPr>
          <w:lang w:eastAsia="ja-JP"/>
        </w:rPr>
        <w:t xml:space="preserve">In </w:t>
      </w:r>
      <w:r>
        <w:rPr>
          <w:lang w:eastAsia="ja-JP"/>
        </w:rPr>
        <w:fldChar w:fldCharType="begin"/>
      </w:r>
      <w:r>
        <w:rPr>
          <w:lang w:eastAsia="ja-JP"/>
        </w:rPr>
        <w:instrText xml:space="preserve"> REF _Ref142673198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below, we calculate the in-band PSD for various uplink (UL) CA </w:t>
      </w:r>
      <w:r w:rsidR="00A1651D">
        <w:rPr>
          <w:lang w:eastAsia="ja-JP"/>
        </w:rPr>
        <w:t>configuration,</w:t>
      </w:r>
      <w:r>
        <w:rPr>
          <w:lang w:eastAsia="ja-JP"/>
        </w:rPr>
        <w:t xml:space="preserve"> and we calculate the required output back-off (OBO) required to meet either the NS_53 -1dBm/MHz or the NS_54 +17dBm/MHz requirement. Th</w:t>
      </w:r>
      <w:r w:rsidR="000C1097">
        <w:rPr>
          <w:lang w:eastAsia="ja-JP"/>
        </w:rPr>
        <w:t>e OBO is calculated as the back-off that is needed in addition to the agreed MPR for each waveform type for PC5.</w:t>
      </w:r>
    </w:p>
    <w:p w14:paraId="279F07A2" w14:textId="40DFAAA7" w:rsidR="009E1817" w:rsidRDefault="009E1817" w:rsidP="009E1817">
      <w:pPr>
        <w:pStyle w:val="Caption"/>
        <w:keepNext/>
        <w:jc w:val="center"/>
        <w:rPr>
          <w:lang w:eastAsia="ja-JP"/>
        </w:rPr>
      </w:pPr>
      <w:bookmarkStart w:id="12" w:name="_Ref142673198"/>
      <w:r>
        <w:t xml:space="preserve">Table </w:t>
      </w:r>
      <w:r>
        <w:fldChar w:fldCharType="begin"/>
      </w:r>
      <w:r>
        <w:instrText xml:space="preserve"> SEQ Table \* ARABIC </w:instrText>
      </w:r>
      <w:r>
        <w:fldChar w:fldCharType="separate"/>
      </w:r>
      <w:r>
        <w:rPr>
          <w:noProof/>
        </w:rPr>
        <w:t>2</w:t>
      </w:r>
      <w:r>
        <w:fldChar w:fldCharType="end"/>
      </w:r>
      <w:bookmarkEnd w:id="12"/>
      <w:r>
        <w:t xml:space="preserve"> </w:t>
      </w:r>
      <w:r>
        <w:rPr>
          <w:b w:val="0"/>
          <w:bCs/>
        </w:rPr>
        <w:t xml:space="preserve">UL CA PSD vs total </w:t>
      </w:r>
      <w:r w:rsidR="00A1651D">
        <w:rPr>
          <w:b w:val="0"/>
          <w:bCs/>
        </w:rPr>
        <w:t>aggregated</w:t>
      </w:r>
      <w:r>
        <w:rPr>
          <w:b w:val="0"/>
          <w:bCs/>
        </w:rPr>
        <w:t xml:space="preserve"> BW vs agreed MPR vs waveform types.</w:t>
      </w:r>
    </w:p>
    <w:p w14:paraId="73B21AE7" w14:textId="21C8265E" w:rsidR="009E1817" w:rsidRDefault="009E1817" w:rsidP="009E1817">
      <w:pPr>
        <w:rPr>
          <w:lang w:eastAsia="ja-JP"/>
        </w:rPr>
      </w:pPr>
      <w:r w:rsidRPr="009E1817">
        <w:rPr>
          <w:noProof/>
        </w:rPr>
        <w:drawing>
          <wp:inline distT="0" distB="0" distL="0" distR="0" wp14:anchorId="2729B17C" wp14:editId="395B91DB">
            <wp:extent cx="6122035" cy="2893695"/>
            <wp:effectExtent l="0" t="0" r="0" b="1905"/>
            <wp:docPr id="163419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893695"/>
                    </a:xfrm>
                    <a:prstGeom prst="rect">
                      <a:avLst/>
                    </a:prstGeom>
                    <a:noFill/>
                    <a:ln>
                      <a:noFill/>
                    </a:ln>
                  </pic:spPr>
                </pic:pic>
              </a:graphicData>
            </a:graphic>
          </wp:inline>
        </w:drawing>
      </w:r>
    </w:p>
    <w:p w14:paraId="2BC15912" w14:textId="098C7A40" w:rsidR="000C1097" w:rsidRPr="000C1097" w:rsidRDefault="000C1097" w:rsidP="009E1817">
      <w:pPr>
        <w:rPr>
          <w:b/>
          <w:bCs/>
          <w:lang w:eastAsia="ja-JP"/>
        </w:rPr>
      </w:pPr>
      <w:r w:rsidRPr="000C1097">
        <w:rPr>
          <w:b/>
          <w:bCs/>
          <w:lang w:eastAsia="ja-JP"/>
        </w:rPr>
        <w:t>Observation 1:</w:t>
      </w:r>
    </w:p>
    <w:p w14:paraId="4322D1BE" w14:textId="6E2680D2" w:rsidR="009E1817" w:rsidRPr="000C1097" w:rsidRDefault="000C1097" w:rsidP="009E1817">
      <w:pPr>
        <w:rPr>
          <w:b/>
          <w:bCs/>
          <w:lang w:eastAsia="ja-JP"/>
        </w:rPr>
      </w:pPr>
      <w:r w:rsidRPr="000C1097">
        <w:rPr>
          <w:b/>
          <w:bCs/>
          <w:lang w:eastAsia="ja-JP"/>
        </w:rPr>
        <w:t xml:space="preserve">For NS_54, the PC5 MPR is sufficient to meet the +17dBm/MHz PSD requirement, </w:t>
      </w:r>
      <w:r w:rsidR="00A1651D" w:rsidRPr="000C1097">
        <w:rPr>
          <w:b/>
          <w:bCs/>
          <w:lang w:eastAsia="ja-JP"/>
        </w:rPr>
        <w:t>i</w:t>
      </w:r>
      <w:r w:rsidR="00A1651D">
        <w:rPr>
          <w:b/>
          <w:bCs/>
          <w:lang w:eastAsia="ja-JP"/>
        </w:rPr>
        <w:t>.</w:t>
      </w:r>
      <w:r w:rsidR="00A1651D" w:rsidRPr="000C1097">
        <w:rPr>
          <w:b/>
          <w:bCs/>
          <w:lang w:eastAsia="ja-JP"/>
        </w:rPr>
        <w:t>e.,</w:t>
      </w:r>
      <w:r w:rsidRPr="000C1097">
        <w:rPr>
          <w:b/>
          <w:bCs/>
          <w:lang w:eastAsia="ja-JP"/>
        </w:rPr>
        <w:t xml:space="preserve"> no A-MPR is needed.</w:t>
      </w:r>
    </w:p>
    <w:p w14:paraId="41480ED3" w14:textId="3724309D" w:rsidR="000C1097" w:rsidRDefault="000C1097" w:rsidP="009E1817">
      <w:pPr>
        <w:rPr>
          <w:b/>
          <w:bCs/>
          <w:lang w:eastAsia="ja-JP"/>
        </w:rPr>
      </w:pPr>
      <w:r w:rsidRPr="000C1097">
        <w:rPr>
          <w:b/>
          <w:bCs/>
          <w:lang w:eastAsia="ja-JP"/>
        </w:rPr>
        <w:lastRenderedPageBreak/>
        <w:t>For NS_53, additional OBO is needed to meet the -1dBm/MHz PSD requirement. A-MPR evaluation is required.</w:t>
      </w:r>
    </w:p>
    <w:p w14:paraId="2E4E6C44" w14:textId="77777777" w:rsidR="000C1097" w:rsidRDefault="000C1097" w:rsidP="009E1817">
      <w:pPr>
        <w:rPr>
          <w:b/>
          <w:bCs/>
          <w:lang w:eastAsia="ja-JP"/>
        </w:rPr>
      </w:pPr>
    </w:p>
    <w:p w14:paraId="32EC4F71" w14:textId="53656108" w:rsidR="000C1097" w:rsidRDefault="000C1097" w:rsidP="009E1817">
      <w:pPr>
        <w:rPr>
          <w:b/>
          <w:bCs/>
          <w:lang w:eastAsia="ja-JP"/>
        </w:rPr>
      </w:pPr>
      <w:r>
        <w:rPr>
          <w:b/>
          <w:bCs/>
          <w:lang w:eastAsia="ja-JP"/>
        </w:rPr>
        <w:t>Proposal 1: No A-MPR is needed for NS_54.</w:t>
      </w:r>
    </w:p>
    <w:p w14:paraId="35D7C65B" w14:textId="7DD51AD2" w:rsidR="000C1097" w:rsidRDefault="000C1097" w:rsidP="000C1097">
      <w:pPr>
        <w:pStyle w:val="Heading2"/>
        <w:rPr>
          <w:lang w:eastAsia="ja-JP"/>
        </w:rPr>
      </w:pPr>
      <w:r>
        <w:rPr>
          <w:lang w:eastAsia="ja-JP"/>
        </w:rPr>
        <w:t>2.1 NS_53 A-MPR measurements</w:t>
      </w:r>
    </w:p>
    <w:p w14:paraId="19D1D870" w14:textId="25B066A9" w:rsidR="000C1097" w:rsidRDefault="000C1097" w:rsidP="009E1817">
      <w:pPr>
        <w:rPr>
          <w:lang w:eastAsia="ja-JP"/>
        </w:rPr>
      </w:pPr>
      <w:r>
        <w:rPr>
          <w:lang w:eastAsia="ja-JP"/>
        </w:rPr>
        <w:t>Measurement assumptions:</w:t>
      </w:r>
    </w:p>
    <w:p w14:paraId="223F5CF2" w14:textId="77777777" w:rsidR="000C1097" w:rsidRP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heme="minorEastAsia"/>
          <w:lang w:eastAsia="ko-KR"/>
        </w:rPr>
        <w:t>Power Class:</w:t>
      </w:r>
      <w:r w:rsidRPr="000C1097">
        <w:rPr>
          <w:rFonts w:eastAsiaTheme="minorEastAsia"/>
          <w:lang w:val="en-US" w:eastAsia="ko-KR"/>
        </w:rPr>
        <w:t xml:space="preserve"> PC</w:t>
      </w:r>
      <w:r w:rsidRPr="000C1097">
        <w:rPr>
          <w:rFonts w:eastAsiaTheme="minorEastAsia"/>
          <w:lang w:eastAsia="ko-KR"/>
        </w:rPr>
        <w:t>5</w:t>
      </w:r>
    </w:p>
    <w:p w14:paraId="73DD8089" w14:textId="77777777" w:rsidR="000C1097" w:rsidRP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heme="minorEastAsia"/>
          <w:lang w:eastAsia="ko-KR"/>
        </w:rPr>
        <w:t>Calibration Point: 1dB MPR for QPSK DFT-s-OFDM 20MHz 100RB3 waveform at 27dB ACLR</w:t>
      </w:r>
    </w:p>
    <w:p w14:paraId="1398F2B2" w14:textId="77777777" w:rsidR="000C1097" w:rsidRP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imes New Roman"/>
          <w:lang w:eastAsia="ko-KR"/>
        </w:rPr>
        <w:t>Post PA losses 4dB</w:t>
      </w:r>
    </w:p>
    <w:p w14:paraId="6DA351EE" w14:textId="77777777" w:rsidR="000C1097" w:rsidRP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imes New Roman"/>
          <w:lang w:eastAsia="ko-KR"/>
        </w:rPr>
        <w:t>ACLR: 27 dB</w:t>
      </w:r>
    </w:p>
    <w:p w14:paraId="2D8B0B4D" w14:textId="77777777" w:rsidR="000C1097" w:rsidRPr="000C1097" w:rsidRDefault="000C1097" w:rsidP="000C1097">
      <w:pPr>
        <w:numPr>
          <w:ilvl w:val="0"/>
          <w:numId w:val="34"/>
        </w:numPr>
        <w:overflowPunct w:val="0"/>
        <w:autoSpaceDE w:val="0"/>
        <w:autoSpaceDN w:val="0"/>
        <w:adjustRightInd w:val="0"/>
        <w:contextualSpacing/>
        <w:rPr>
          <w:rFonts w:eastAsia="Times New Roman"/>
          <w:lang w:eastAsia="ko-KR"/>
        </w:rPr>
      </w:pPr>
      <w:r w:rsidRPr="000C1097">
        <w:rPr>
          <w:rFonts w:eastAsia="Times New Roman"/>
          <w:lang w:eastAsia="ko-KR"/>
        </w:rPr>
        <w:t>SEM: NR-U</w:t>
      </w:r>
    </w:p>
    <w:p w14:paraId="4A3D5BEB" w14:textId="77777777" w:rsidR="000C1097" w:rsidRP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heme="minorEastAsia"/>
          <w:lang w:eastAsia="ko-KR"/>
        </w:rPr>
        <w:t>IQ image: -28dB</w:t>
      </w:r>
    </w:p>
    <w:p w14:paraId="2EFC2322" w14:textId="77777777" w:rsidR="000C1097" w:rsidRDefault="000C1097" w:rsidP="000C1097">
      <w:pPr>
        <w:numPr>
          <w:ilvl w:val="0"/>
          <w:numId w:val="34"/>
        </w:numPr>
        <w:overflowPunct w:val="0"/>
        <w:autoSpaceDE w:val="0"/>
        <w:autoSpaceDN w:val="0"/>
        <w:adjustRightInd w:val="0"/>
        <w:contextualSpacing/>
        <w:rPr>
          <w:rFonts w:eastAsiaTheme="minorEastAsia"/>
          <w:lang w:eastAsia="ko-KR"/>
        </w:rPr>
      </w:pPr>
      <w:r w:rsidRPr="000C1097">
        <w:rPr>
          <w:rFonts w:eastAsiaTheme="minorEastAsia"/>
          <w:lang w:eastAsia="ko-KR"/>
        </w:rPr>
        <w:t>Carrier leakage: -28dBc</w:t>
      </w:r>
    </w:p>
    <w:p w14:paraId="1A459DDB" w14:textId="77777777" w:rsidR="000C1097" w:rsidRDefault="000C1097" w:rsidP="000C1097">
      <w:pPr>
        <w:overflowPunct w:val="0"/>
        <w:autoSpaceDE w:val="0"/>
        <w:autoSpaceDN w:val="0"/>
        <w:adjustRightInd w:val="0"/>
        <w:contextualSpacing/>
        <w:rPr>
          <w:rFonts w:eastAsiaTheme="minorEastAsia"/>
          <w:lang w:eastAsia="ko-KR"/>
        </w:rPr>
      </w:pPr>
    </w:p>
    <w:p w14:paraId="3DA4608E" w14:textId="6F89A57B" w:rsidR="000C1097" w:rsidRPr="000C1097" w:rsidRDefault="000C1097" w:rsidP="000C1097">
      <w:pPr>
        <w:overflowPunct w:val="0"/>
        <w:autoSpaceDE w:val="0"/>
        <w:autoSpaceDN w:val="0"/>
        <w:adjustRightInd w:val="0"/>
        <w:contextualSpacing/>
        <w:rPr>
          <w:lang w:eastAsia="ja-JP"/>
        </w:rPr>
      </w:pPr>
      <w:r>
        <w:rPr>
          <w:rFonts w:eastAsiaTheme="minorEastAsia"/>
          <w:lang w:eastAsia="ko-KR"/>
        </w:rPr>
        <w:t xml:space="preserve">Due to lack of time, we are unable to </w:t>
      </w:r>
      <w:r w:rsidR="00045D0C">
        <w:rPr>
          <w:rFonts w:eastAsiaTheme="minorEastAsia"/>
          <w:lang w:eastAsia="ko-KR"/>
        </w:rPr>
        <w:t>analyse</w:t>
      </w:r>
      <w:r>
        <w:rPr>
          <w:rFonts w:eastAsiaTheme="minorEastAsia"/>
          <w:lang w:eastAsia="ko-KR"/>
        </w:rPr>
        <w:t xml:space="preserve"> the whole dataset in due time. Data may be presented prior to</w:t>
      </w:r>
      <w:r w:rsidR="00A1651D">
        <w:rPr>
          <w:rFonts w:eastAsiaTheme="minorEastAsia"/>
          <w:lang w:eastAsia="ko-KR"/>
        </w:rPr>
        <w:t xml:space="preserve"> the</w:t>
      </w:r>
      <w:r>
        <w:rPr>
          <w:rFonts w:eastAsiaTheme="minorEastAsia"/>
          <w:lang w:eastAsia="ko-KR"/>
        </w:rPr>
        <w:t xml:space="preserve"> meeting start if the request to revise this document is accepted by the RAN4 chairman.</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6FC4285" w14:textId="426016C3" w:rsidR="000667C9" w:rsidRDefault="00BD5C7F" w:rsidP="000667C9">
      <w:pPr>
        <w:spacing w:after="120"/>
        <w:jc w:val="both"/>
      </w:pPr>
      <w:r>
        <w:t xml:space="preserve">In this contribution, </w:t>
      </w:r>
      <w:r w:rsidR="0099638A">
        <w:t xml:space="preserve">we intended to bring </w:t>
      </w:r>
      <w:r w:rsidR="00A1651D">
        <w:t>measurement</w:t>
      </w:r>
      <w:r w:rsidR="0099638A">
        <w:t xml:space="preserve"> data to evaluate the NS_53 A-MPR requirements for NR-U UL-CA PC5 operation in band n96. Due to lack of time, we hope to bring a revision to complete this contribution.</w:t>
      </w:r>
    </w:p>
    <w:p w14:paraId="01756E15" w14:textId="77777777" w:rsidR="0099638A" w:rsidRPr="000C1097" w:rsidRDefault="0099638A" w:rsidP="0099638A">
      <w:pPr>
        <w:rPr>
          <w:b/>
          <w:bCs/>
          <w:lang w:eastAsia="ja-JP"/>
        </w:rPr>
      </w:pPr>
      <w:r w:rsidRPr="000C1097">
        <w:rPr>
          <w:b/>
          <w:bCs/>
          <w:lang w:eastAsia="ja-JP"/>
        </w:rPr>
        <w:t>Observation 1:</w:t>
      </w:r>
    </w:p>
    <w:p w14:paraId="110CC764" w14:textId="616E4249" w:rsidR="0099638A" w:rsidRPr="000C1097" w:rsidRDefault="0099638A" w:rsidP="0099638A">
      <w:pPr>
        <w:rPr>
          <w:b/>
          <w:bCs/>
          <w:lang w:eastAsia="ja-JP"/>
        </w:rPr>
      </w:pPr>
      <w:r w:rsidRPr="000C1097">
        <w:rPr>
          <w:b/>
          <w:bCs/>
          <w:lang w:eastAsia="ja-JP"/>
        </w:rPr>
        <w:t xml:space="preserve">For NS_54, the PC5 MPR is sufficient to meet the +17dBm/MHz PSD requirement, </w:t>
      </w:r>
      <w:r w:rsidR="00A1651D" w:rsidRPr="000C1097">
        <w:rPr>
          <w:b/>
          <w:bCs/>
          <w:lang w:eastAsia="ja-JP"/>
        </w:rPr>
        <w:t>i</w:t>
      </w:r>
      <w:r w:rsidR="00A1651D">
        <w:rPr>
          <w:b/>
          <w:bCs/>
          <w:lang w:eastAsia="ja-JP"/>
        </w:rPr>
        <w:t>.</w:t>
      </w:r>
      <w:r w:rsidR="00A1651D" w:rsidRPr="000C1097">
        <w:rPr>
          <w:b/>
          <w:bCs/>
          <w:lang w:eastAsia="ja-JP"/>
        </w:rPr>
        <w:t>e.,</w:t>
      </w:r>
      <w:r w:rsidRPr="000C1097">
        <w:rPr>
          <w:b/>
          <w:bCs/>
          <w:lang w:eastAsia="ja-JP"/>
        </w:rPr>
        <w:t xml:space="preserve"> no A-MPR is needed.</w:t>
      </w:r>
    </w:p>
    <w:p w14:paraId="3249FDCE" w14:textId="77777777" w:rsidR="0099638A" w:rsidRDefault="0099638A" w:rsidP="0099638A">
      <w:pPr>
        <w:rPr>
          <w:b/>
          <w:bCs/>
          <w:lang w:eastAsia="ja-JP"/>
        </w:rPr>
      </w:pPr>
      <w:r w:rsidRPr="000C1097">
        <w:rPr>
          <w:b/>
          <w:bCs/>
          <w:lang w:eastAsia="ja-JP"/>
        </w:rPr>
        <w:t>For NS_53, additional OBO is needed to meet the -1dBm/MHz PSD requirement. A-MPR evaluation is required.</w:t>
      </w:r>
    </w:p>
    <w:p w14:paraId="1D026178" w14:textId="634E3B2C" w:rsidR="0099638A" w:rsidRDefault="0099638A" w:rsidP="0099638A">
      <w:r>
        <w:rPr>
          <w:b/>
          <w:bCs/>
          <w:lang w:eastAsia="ja-JP"/>
        </w:rPr>
        <w:t>Proposal 1: No A-MPR is needed for NS_54.</w:t>
      </w:r>
    </w:p>
    <w:p w14:paraId="45570311" w14:textId="65FA459C" w:rsidR="001F4EC2" w:rsidRDefault="003B6D0B" w:rsidP="000C4D01">
      <w:pPr>
        <w:pStyle w:val="Heading1"/>
        <w:spacing w:after="120"/>
        <w:jc w:val="both"/>
        <w:rPr>
          <w:lang w:eastAsia="ja-JP"/>
        </w:rPr>
      </w:pPr>
      <w:r>
        <w:rPr>
          <w:lang w:eastAsia="ja-JP"/>
        </w:rPr>
        <w:t>References</w:t>
      </w:r>
      <w:bookmarkEnd w:id="0"/>
      <w:bookmarkEnd w:id="1"/>
      <w:bookmarkEnd w:id="2"/>
      <w:bookmarkEnd w:id="3"/>
      <w:bookmarkEnd w:id="4"/>
      <w:bookmarkEnd w:id="6"/>
      <w:bookmarkEnd w:id="7"/>
      <w:bookmarkEnd w:id="8"/>
      <w:bookmarkEnd w:id="9"/>
      <w:bookmarkEnd w:id="10"/>
    </w:p>
    <w:p w14:paraId="47EE1F92" w14:textId="78FEFE61" w:rsidR="00B3483A" w:rsidRPr="00B3483A" w:rsidRDefault="00B3483A" w:rsidP="00B3483A">
      <w:pPr>
        <w:ind w:left="564" w:hanging="564"/>
        <w:rPr>
          <w:lang w:eastAsia="ja-JP"/>
        </w:rPr>
      </w:pPr>
      <w:r>
        <w:rPr>
          <w:lang w:eastAsia="ja-JP"/>
        </w:rPr>
        <w:t xml:space="preserve">[1] </w:t>
      </w:r>
      <w:r>
        <w:rPr>
          <w:lang w:eastAsia="ja-JP"/>
        </w:rPr>
        <w:tab/>
      </w:r>
      <w:r>
        <w:rPr>
          <w:lang w:eastAsia="ja-JP"/>
        </w:rPr>
        <w:tab/>
      </w:r>
      <w:r w:rsidRPr="00B3483A">
        <w:rPr>
          <w:lang w:eastAsia="ja-JP"/>
        </w:rPr>
        <w:t>R4-2309723</w:t>
      </w:r>
      <w:r>
        <w:rPr>
          <w:lang w:eastAsia="ja-JP"/>
        </w:rPr>
        <w:t xml:space="preserve"> </w:t>
      </w:r>
      <w:r w:rsidRPr="00B3483A">
        <w:rPr>
          <w:lang w:eastAsia="ja-JP"/>
        </w:rPr>
        <w:t>Discussion of simulation results on UE RF NR-U UL CA A-MPR for PC5</w:t>
      </w:r>
      <w:r>
        <w:rPr>
          <w:lang w:eastAsia="ja-JP"/>
        </w:rPr>
        <w:t xml:space="preserve">, </w:t>
      </w:r>
      <w:r w:rsidRPr="00B3483A">
        <w:rPr>
          <w:lang w:eastAsia="ja-JP"/>
        </w:rPr>
        <w:t>3GPP TSG-RAN WG4 Meeting #107</w:t>
      </w:r>
      <w:r>
        <w:rPr>
          <w:lang w:eastAsia="ja-JP"/>
        </w:rPr>
        <w:t xml:space="preserve">, Incheon, KR, </w:t>
      </w:r>
      <w:r w:rsidRPr="00B3483A">
        <w:rPr>
          <w:lang w:eastAsia="ja-JP"/>
        </w:rPr>
        <w:t>Charter Communications, Inc.</w:t>
      </w:r>
    </w:p>
    <w:sectPr w:rsidR="00B3483A" w:rsidRPr="00B3483A"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4A30" w14:textId="77777777" w:rsidR="005869FD" w:rsidRDefault="005869FD">
      <w:r>
        <w:separator/>
      </w:r>
    </w:p>
  </w:endnote>
  <w:endnote w:type="continuationSeparator" w:id="0">
    <w:p w14:paraId="768DB9F9" w14:textId="77777777" w:rsidR="005869FD" w:rsidRDefault="0058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52B83" w14:textId="77777777" w:rsidR="005869FD" w:rsidRDefault="005869FD">
      <w:r>
        <w:separator/>
      </w:r>
    </w:p>
  </w:footnote>
  <w:footnote w:type="continuationSeparator" w:id="0">
    <w:p w14:paraId="6F58D16D" w14:textId="77777777" w:rsidR="005869FD" w:rsidRDefault="00586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F17F6"/>
    <w:multiLevelType w:val="hybridMultilevel"/>
    <w:tmpl w:val="1722F8E6"/>
    <w:lvl w:ilvl="0" w:tplc="59962238">
      <w:start w:val="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54285E"/>
    <w:multiLevelType w:val="hybridMultilevel"/>
    <w:tmpl w:val="9F56419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D51F59"/>
    <w:multiLevelType w:val="hybridMultilevel"/>
    <w:tmpl w:val="A086D0A2"/>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245C89"/>
    <w:multiLevelType w:val="hybridMultilevel"/>
    <w:tmpl w:val="02E0C4D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0409000F">
      <w:start w:val="1"/>
      <w:numFmt w:val="decimal"/>
      <w:lvlText w:val="%3."/>
      <w:lvlJc w:val="left"/>
      <w:pPr>
        <w:ind w:left="720" w:hanging="360"/>
      </w:pPr>
    </w:lvl>
    <w:lvl w:ilvl="3" w:tplc="780A8E3C">
      <w:start w:val="1"/>
      <w:numFmt w:val="bullet"/>
      <w:lvlText w:val="-"/>
      <w:lvlJc w:val="left"/>
      <w:pPr>
        <w:ind w:left="288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BC45C1"/>
    <w:multiLevelType w:val="hybridMultilevel"/>
    <w:tmpl w:val="79843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7462FA6"/>
    <w:multiLevelType w:val="hybridMultilevel"/>
    <w:tmpl w:val="39942CC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93669296">
    <w:abstractNumId w:val="19"/>
  </w:num>
  <w:num w:numId="2" w16cid:durableId="1554611106">
    <w:abstractNumId w:val="32"/>
  </w:num>
  <w:num w:numId="3" w16cid:durableId="533808148">
    <w:abstractNumId w:val="8"/>
  </w:num>
  <w:num w:numId="4" w16cid:durableId="1777017965">
    <w:abstractNumId w:val="5"/>
  </w:num>
  <w:num w:numId="5" w16cid:durableId="559248807">
    <w:abstractNumId w:val="26"/>
  </w:num>
  <w:num w:numId="6" w16cid:durableId="369837685">
    <w:abstractNumId w:val="23"/>
  </w:num>
  <w:num w:numId="7" w16cid:durableId="1806776247">
    <w:abstractNumId w:val="25"/>
  </w:num>
  <w:num w:numId="8" w16cid:durableId="1590039163">
    <w:abstractNumId w:val="9"/>
  </w:num>
  <w:num w:numId="9" w16cid:durableId="1540511951">
    <w:abstractNumId w:val="20"/>
  </w:num>
  <w:num w:numId="10" w16cid:durableId="1968118631">
    <w:abstractNumId w:val="33"/>
  </w:num>
  <w:num w:numId="11" w16cid:durableId="810293475">
    <w:abstractNumId w:val="7"/>
  </w:num>
  <w:num w:numId="12" w16cid:durableId="12126210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8184472">
    <w:abstractNumId w:val="30"/>
  </w:num>
  <w:num w:numId="14" w16cid:durableId="656374215">
    <w:abstractNumId w:val="3"/>
  </w:num>
  <w:num w:numId="15" w16cid:durableId="1844052334">
    <w:abstractNumId w:val="18"/>
  </w:num>
  <w:num w:numId="16" w16cid:durableId="619802764">
    <w:abstractNumId w:val="11"/>
  </w:num>
  <w:num w:numId="17" w16cid:durableId="624501599">
    <w:abstractNumId w:val="29"/>
  </w:num>
  <w:num w:numId="18" w16cid:durableId="892038058">
    <w:abstractNumId w:val="31"/>
  </w:num>
  <w:num w:numId="19" w16cid:durableId="1277299415">
    <w:abstractNumId w:val="0"/>
  </w:num>
  <w:num w:numId="20" w16cid:durableId="960108116">
    <w:abstractNumId w:val="28"/>
  </w:num>
  <w:num w:numId="21" w16cid:durableId="1649745442">
    <w:abstractNumId w:val="6"/>
  </w:num>
  <w:num w:numId="22" w16cid:durableId="668558900">
    <w:abstractNumId w:val="2"/>
  </w:num>
  <w:num w:numId="23" w16cid:durableId="951018188">
    <w:abstractNumId w:val="27"/>
  </w:num>
  <w:num w:numId="24" w16cid:durableId="1771464158">
    <w:abstractNumId w:val="21"/>
  </w:num>
  <w:num w:numId="25" w16cid:durableId="1918585965">
    <w:abstractNumId w:val="12"/>
  </w:num>
  <w:num w:numId="26" w16cid:durableId="709571866">
    <w:abstractNumId w:val="17"/>
  </w:num>
  <w:num w:numId="27" w16cid:durableId="735278221">
    <w:abstractNumId w:val="22"/>
  </w:num>
  <w:num w:numId="28" w16cid:durableId="451636867">
    <w:abstractNumId w:val="14"/>
  </w:num>
  <w:num w:numId="29" w16cid:durableId="1462502652">
    <w:abstractNumId w:val="1"/>
  </w:num>
  <w:num w:numId="30" w16cid:durableId="858853342">
    <w:abstractNumId w:val="4"/>
  </w:num>
  <w:num w:numId="31" w16cid:durableId="665867650">
    <w:abstractNumId w:val="13"/>
  </w:num>
  <w:num w:numId="32" w16cid:durableId="530923822">
    <w:abstractNumId w:val="10"/>
  </w:num>
  <w:num w:numId="33" w16cid:durableId="2090805556">
    <w:abstractNumId w:val="24"/>
  </w:num>
  <w:num w:numId="34" w16cid:durableId="92380430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29EB"/>
    <w:rsid w:val="000154DC"/>
    <w:rsid w:val="00016EFF"/>
    <w:rsid w:val="0001775B"/>
    <w:rsid w:val="00020AAA"/>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5D0C"/>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3133"/>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3717"/>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097"/>
    <w:rsid w:val="000C1389"/>
    <w:rsid w:val="000C3909"/>
    <w:rsid w:val="000C4D01"/>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6FD"/>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16FB2"/>
    <w:rsid w:val="0012251E"/>
    <w:rsid w:val="001231DC"/>
    <w:rsid w:val="0012432D"/>
    <w:rsid w:val="0012446A"/>
    <w:rsid w:val="001265E3"/>
    <w:rsid w:val="00126E43"/>
    <w:rsid w:val="00127ACF"/>
    <w:rsid w:val="001303E6"/>
    <w:rsid w:val="001325AA"/>
    <w:rsid w:val="001335EE"/>
    <w:rsid w:val="00133B52"/>
    <w:rsid w:val="00133BEF"/>
    <w:rsid w:val="001348EF"/>
    <w:rsid w:val="00135DB1"/>
    <w:rsid w:val="0013685B"/>
    <w:rsid w:val="0013706F"/>
    <w:rsid w:val="0013739E"/>
    <w:rsid w:val="00137734"/>
    <w:rsid w:val="00140F9D"/>
    <w:rsid w:val="00141DB5"/>
    <w:rsid w:val="00142EB7"/>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969FF"/>
    <w:rsid w:val="001A06B6"/>
    <w:rsid w:val="001A08AA"/>
    <w:rsid w:val="001A29C0"/>
    <w:rsid w:val="001A2E42"/>
    <w:rsid w:val="001A5052"/>
    <w:rsid w:val="001A7159"/>
    <w:rsid w:val="001B195A"/>
    <w:rsid w:val="001B49C2"/>
    <w:rsid w:val="001B5B30"/>
    <w:rsid w:val="001B5C32"/>
    <w:rsid w:val="001C0E61"/>
    <w:rsid w:val="001C1C91"/>
    <w:rsid w:val="001C44AA"/>
    <w:rsid w:val="001C576A"/>
    <w:rsid w:val="001C6F4F"/>
    <w:rsid w:val="001D0A18"/>
    <w:rsid w:val="001D2428"/>
    <w:rsid w:val="001D436A"/>
    <w:rsid w:val="001D4A61"/>
    <w:rsid w:val="001D6AFB"/>
    <w:rsid w:val="001D6BFD"/>
    <w:rsid w:val="001E3DF7"/>
    <w:rsid w:val="001E73B6"/>
    <w:rsid w:val="001E79A1"/>
    <w:rsid w:val="001F239F"/>
    <w:rsid w:val="001F4EC2"/>
    <w:rsid w:val="001F7248"/>
    <w:rsid w:val="001F79C8"/>
    <w:rsid w:val="0020017D"/>
    <w:rsid w:val="00200546"/>
    <w:rsid w:val="00200ABF"/>
    <w:rsid w:val="00200B07"/>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2596"/>
    <w:rsid w:val="00245A34"/>
    <w:rsid w:val="00245B48"/>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7AB"/>
    <w:rsid w:val="00272861"/>
    <w:rsid w:val="00274D6B"/>
    <w:rsid w:val="00274F4A"/>
    <w:rsid w:val="00276494"/>
    <w:rsid w:val="002775E8"/>
    <w:rsid w:val="00277BEB"/>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D7722"/>
    <w:rsid w:val="002E0920"/>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5AE"/>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87D9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1D4D"/>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20F4"/>
    <w:rsid w:val="00423362"/>
    <w:rsid w:val="004236C8"/>
    <w:rsid w:val="004250B1"/>
    <w:rsid w:val="00425A7A"/>
    <w:rsid w:val="00425BF8"/>
    <w:rsid w:val="004307CA"/>
    <w:rsid w:val="00431CD5"/>
    <w:rsid w:val="00432356"/>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0B5"/>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590C"/>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475F8"/>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2AE"/>
    <w:rsid w:val="0057362B"/>
    <w:rsid w:val="00573B15"/>
    <w:rsid w:val="00576264"/>
    <w:rsid w:val="00577F1A"/>
    <w:rsid w:val="005805C5"/>
    <w:rsid w:val="00581502"/>
    <w:rsid w:val="00582C3B"/>
    <w:rsid w:val="00582F61"/>
    <w:rsid w:val="005849AA"/>
    <w:rsid w:val="005869FD"/>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396B"/>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7CD"/>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4B5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3CE9"/>
    <w:rsid w:val="006A3DD9"/>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4125"/>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6FC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2A4"/>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759DC"/>
    <w:rsid w:val="00780127"/>
    <w:rsid w:val="00780501"/>
    <w:rsid w:val="00780779"/>
    <w:rsid w:val="00780BA8"/>
    <w:rsid w:val="00780D1F"/>
    <w:rsid w:val="00782877"/>
    <w:rsid w:val="00783728"/>
    <w:rsid w:val="007837DC"/>
    <w:rsid w:val="00784A2A"/>
    <w:rsid w:val="0078659B"/>
    <w:rsid w:val="007866FA"/>
    <w:rsid w:val="00786A7F"/>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7B8"/>
    <w:rsid w:val="007A7B7E"/>
    <w:rsid w:val="007B07A5"/>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6C8"/>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035"/>
    <w:rsid w:val="008054CA"/>
    <w:rsid w:val="00806198"/>
    <w:rsid w:val="00810D32"/>
    <w:rsid w:val="0081171B"/>
    <w:rsid w:val="00813043"/>
    <w:rsid w:val="00813D4B"/>
    <w:rsid w:val="00814E1C"/>
    <w:rsid w:val="00816FFA"/>
    <w:rsid w:val="00817951"/>
    <w:rsid w:val="0082145C"/>
    <w:rsid w:val="00821E4D"/>
    <w:rsid w:val="00822203"/>
    <w:rsid w:val="008229AB"/>
    <w:rsid w:val="008237F4"/>
    <w:rsid w:val="0082577D"/>
    <w:rsid w:val="008315EA"/>
    <w:rsid w:val="00831CD4"/>
    <w:rsid w:val="00832FFA"/>
    <w:rsid w:val="00833E81"/>
    <w:rsid w:val="008345C9"/>
    <w:rsid w:val="00835A89"/>
    <w:rsid w:val="00846CC3"/>
    <w:rsid w:val="00850377"/>
    <w:rsid w:val="00850BCD"/>
    <w:rsid w:val="0085404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96550"/>
    <w:rsid w:val="008A1C40"/>
    <w:rsid w:val="008A26CA"/>
    <w:rsid w:val="008A4D8F"/>
    <w:rsid w:val="008B18E2"/>
    <w:rsid w:val="008B29DE"/>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2D1A"/>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27FA"/>
    <w:rsid w:val="008F3142"/>
    <w:rsid w:val="008F545D"/>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5B0"/>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3F87"/>
    <w:rsid w:val="00964019"/>
    <w:rsid w:val="0096682F"/>
    <w:rsid w:val="009704A1"/>
    <w:rsid w:val="009730AE"/>
    <w:rsid w:val="009732A9"/>
    <w:rsid w:val="00973C58"/>
    <w:rsid w:val="00973EE5"/>
    <w:rsid w:val="009742CE"/>
    <w:rsid w:val="009743B9"/>
    <w:rsid w:val="009750D0"/>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638A"/>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1817"/>
    <w:rsid w:val="009E6BF5"/>
    <w:rsid w:val="009E7643"/>
    <w:rsid w:val="009F0890"/>
    <w:rsid w:val="009F1B3C"/>
    <w:rsid w:val="009F2A0D"/>
    <w:rsid w:val="009F4FB7"/>
    <w:rsid w:val="009F7E39"/>
    <w:rsid w:val="00A0060A"/>
    <w:rsid w:val="00A00EC6"/>
    <w:rsid w:val="00A01712"/>
    <w:rsid w:val="00A02C37"/>
    <w:rsid w:val="00A0339B"/>
    <w:rsid w:val="00A0633C"/>
    <w:rsid w:val="00A063BD"/>
    <w:rsid w:val="00A15ABB"/>
    <w:rsid w:val="00A1651D"/>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049E"/>
    <w:rsid w:val="00AA0AFC"/>
    <w:rsid w:val="00AA125B"/>
    <w:rsid w:val="00AA3068"/>
    <w:rsid w:val="00AA3B30"/>
    <w:rsid w:val="00AA4AA1"/>
    <w:rsid w:val="00AA4DFA"/>
    <w:rsid w:val="00AA52BD"/>
    <w:rsid w:val="00AA5573"/>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C4C86"/>
    <w:rsid w:val="00AC755F"/>
    <w:rsid w:val="00AD35B2"/>
    <w:rsid w:val="00AD44FD"/>
    <w:rsid w:val="00AD7BE9"/>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C6"/>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13A2"/>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3483A"/>
    <w:rsid w:val="00B406D3"/>
    <w:rsid w:val="00B4089B"/>
    <w:rsid w:val="00B425EB"/>
    <w:rsid w:val="00B43937"/>
    <w:rsid w:val="00B456D2"/>
    <w:rsid w:val="00B46273"/>
    <w:rsid w:val="00B4683F"/>
    <w:rsid w:val="00B46B41"/>
    <w:rsid w:val="00B477BE"/>
    <w:rsid w:val="00B508C8"/>
    <w:rsid w:val="00B50A82"/>
    <w:rsid w:val="00B5139B"/>
    <w:rsid w:val="00B51C26"/>
    <w:rsid w:val="00B52F85"/>
    <w:rsid w:val="00B549F7"/>
    <w:rsid w:val="00B54DC1"/>
    <w:rsid w:val="00B56316"/>
    <w:rsid w:val="00B60020"/>
    <w:rsid w:val="00B60072"/>
    <w:rsid w:val="00B63439"/>
    <w:rsid w:val="00B63649"/>
    <w:rsid w:val="00B63B07"/>
    <w:rsid w:val="00B63CF3"/>
    <w:rsid w:val="00B64A20"/>
    <w:rsid w:val="00B67328"/>
    <w:rsid w:val="00B7029A"/>
    <w:rsid w:val="00B71BEC"/>
    <w:rsid w:val="00B74EEA"/>
    <w:rsid w:val="00B8071C"/>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C6"/>
    <w:rsid w:val="00BD2DE9"/>
    <w:rsid w:val="00BD48FD"/>
    <w:rsid w:val="00BD5B93"/>
    <w:rsid w:val="00BD5C7F"/>
    <w:rsid w:val="00BD6410"/>
    <w:rsid w:val="00BE0865"/>
    <w:rsid w:val="00BE09FA"/>
    <w:rsid w:val="00BE46E8"/>
    <w:rsid w:val="00BE7791"/>
    <w:rsid w:val="00BF10A2"/>
    <w:rsid w:val="00BF18AF"/>
    <w:rsid w:val="00BF18EC"/>
    <w:rsid w:val="00BF2359"/>
    <w:rsid w:val="00BF2D10"/>
    <w:rsid w:val="00BF312C"/>
    <w:rsid w:val="00BF3CF3"/>
    <w:rsid w:val="00BF5D20"/>
    <w:rsid w:val="00BF5DEC"/>
    <w:rsid w:val="00BF7A92"/>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4684"/>
    <w:rsid w:val="00C359A6"/>
    <w:rsid w:val="00C35F1C"/>
    <w:rsid w:val="00C3741D"/>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154C"/>
    <w:rsid w:val="00C6215D"/>
    <w:rsid w:val="00C6332C"/>
    <w:rsid w:val="00C6686D"/>
    <w:rsid w:val="00C66ED7"/>
    <w:rsid w:val="00C678F1"/>
    <w:rsid w:val="00C70067"/>
    <w:rsid w:val="00C707A9"/>
    <w:rsid w:val="00C7197B"/>
    <w:rsid w:val="00C73293"/>
    <w:rsid w:val="00C740BA"/>
    <w:rsid w:val="00C7427A"/>
    <w:rsid w:val="00C75FE9"/>
    <w:rsid w:val="00C76046"/>
    <w:rsid w:val="00C77522"/>
    <w:rsid w:val="00C77FE3"/>
    <w:rsid w:val="00C81F4B"/>
    <w:rsid w:val="00C832FB"/>
    <w:rsid w:val="00C83785"/>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0A34"/>
    <w:rsid w:val="00CB7B26"/>
    <w:rsid w:val="00CC1910"/>
    <w:rsid w:val="00CC1C50"/>
    <w:rsid w:val="00CC26CC"/>
    <w:rsid w:val="00CC3022"/>
    <w:rsid w:val="00CC5A49"/>
    <w:rsid w:val="00CC5EBC"/>
    <w:rsid w:val="00CC6FFC"/>
    <w:rsid w:val="00CC764E"/>
    <w:rsid w:val="00CD00E5"/>
    <w:rsid w:val="00CD0411"/>
    <w:rsid w:val="00CD3903"/>
    <w:rsid w:val="00CD56E5"/>
    <w:rsid w:val="00CD5A51"/>
    <w:rsid w:val="00CD6020"/>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4F59"/>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6A3D"/>
    <w:rsid w:val="00D37651"/>
    <w:rsid w:val="00D42B41"/>
    <w:rsid w:val="00D43374"/>
    <w:rsid w:val="00D44105"/>
    <w:rsid w:val="00D449D1"/>
    <w:rsid w:val="00D4560C"/>
    <w:rsid w:val="00D47843"/>
    <w:rsid w:val="00D47B4E"/>
    <w:rsid w:val="00D47BFD"/>
    <w:rsid w:val="00D5036A"/>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3242"/>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28AB"/>
    <w:rsid w:val="00DE31BF"/>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731"/>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B93"/>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772A2"/>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A7C9F"/>
    <w:rsid w:val="00EA7F7B"/>
    <w:rsid w:val="00EB01E1"/>
    <w:rsid w:val="00EB0AAA"/>
    <w:rsid w:val="00EB41FB"/>
    <w:rsid w:val="00EB6F86"/>
    <w:rsid w:val="00EB7973"/>
    <w:rsid w:val="00EB7A0A"/>
    <w:rsid w:val="00EC004F"/>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2177"/>
    <w:rsid w:val="00F14FDB"/>
    <w:rsid w:val="00F156A9"/>
    <w:rsid w:val="00F15999"/>
    <w:rsid w:val="00F1632B"/>
    <w:rsid w:val="00F1702D"/>
    <w:rsid w:val="00F175C3"/>
    <w:rsid w:val="00F17A0C"/>
    <w:rsid w:val="00F17CA3"/>
    <w:rsid w:val="00F228F4"/>
    <w:rsid w:val="00F23946"/>
    <w:rsid w:val="00F24555"/>
    <w:rsid w:val="00F24C57"/>
    <w:rsid w:val="00F25A38"/>
    <w:rsid w:val="00F265AE"/>
    <w:rsid w:val="00F325ED"/>
    <w:rsid w:val="00F33C78"/>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5458"/>
    <w:rsid w:val="00F96EDF"/>
    <w:rsid w:val="00F973C6"/>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38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qFormat/>
    <w:rsid w:val="002E7F47"/>
    <w:pPr>
      <w:widowControl w:val="0"/>
    </w:pPr>
    <w:rPr>
      <w:lang w:val="en-US" w:eastAsia="en-US"/>
    </w:rPr>
  </w:style>
  <w:style w:type="paragraph" w:customStyle="1" w:styleId="23">
    <w:name w:val="??? 2"/>
    <w:basedOn w:val="a6"/>
    <w:next w:val="a6"/>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739423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88066394">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7734027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2023-08-11T23:44:00Z</dcterms:created>
  <dcterms:modified xsi:type="dcterms:W3CDTF">2023-08-11T23:44:00Z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